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7E" w:rsidRDefault="009F4B7E" w:rsidP="009F4B7E">
      <w:pPr>
        <w:pStyle w:val="Outline1"/>
        <w:numPr>
          <w:ilvl w:val="0"/>
          <w:numId w:val="1"/>
        </w:numPr>
        <w:ind w:left="0" w:firstLine="0"/>
      </w:pPr>
      <w:r>
        <w:t>Urban Research: Peoples of the Cities</w:t>
      </w:r>
      <w:r>
        <w:rPr>
          <w:sz w:val="20"/>
          <w:vertAlign w:val="superscript"/>
        </w:rPr>
        <w:footnoteReference w:id="-1"/>
      </w:r>
    </w:p>
    <w:p w:rsidR="009F4B7E" w:rsidRDefault="009F4B7E" w:rsidP="009F4B7E">
      <w:pPr>
        <w:pStyle w:val="Outline2"/>
        <w:numPr>
          <w:ilvl w:val="12"/>
          <w:numId w:val="0"/>
        </w:numPr>
      </w:pPr>
      <w:r>
        <w:t>A.</w:t>
      </w:r>
      <w:r>
        <w:tab/>
        <w:t>Intersecting Veins of Gold</w:t>
      </w:r>
    </w:p>
    <w:p w:rsidR="009F4B7E" w:rsidRDefault="009F4B7E" w:rsidP="009F4B7E">
      <w:pPr>
        <w:pStyle w:val="DefaultText"/>
        <w:numPr>
          <w:ilvl w:val="12"/>
          <w:numId w:val="0"/>
        </w:numPr>
        <w:ind w:left="648"/>
      </w:pPr>
      <w:r>
        <w:t xml:space="preserve">Cities have many veins of gold.  They run in many directions and need to be searched for. </w:t>
      </w:r>
    </w:p>
    <w:p w:rsidR="009F4B7E" w:rsidRDefault="009F4B7E" w:rsidP="009F4B7E">
      <w:pPr>
        <w:pStyle w:val="DefaultText"/>
        <w:numPr>
          <w:ilvl w:val="12"/>
          <w:numId w:val="0"/>
        </w:numPr>
        <w:ind w:left="648"/>
      </w:pPr>
      <w:r>
        <w:t>There are several ways of viewing the city to find that gold, to find the responsive peoples.  We can map these as overlays</w:t>
      </w:r>
    </w:p>
    <w:p w:rsidR="009F4B7E" w:rsidRDefault="009F4B7E" w:rsidP="009F4B7E">
      <w:pPr>
        <w:pStyle w:val="DefaultText"/>
        <w:framePr w:hSpace="67" w:vSpace="67" w:wrap="notBeside" w:vAnchor="text" w:hAnchor="margin" w:x="-66" w:y="67"/>
        <w:numPr>
          <w:ilvl w:val="12"/>
          <w:numId w:val="0"/>
        </w:numPr>
        <w:pBdr>
          <w:top w:val="single" w:sz="6" w:space="3" w:color="auto" w:shadow="1"/>
          <w:left w:val="single" w:sz="6" w:space="3" w:color="auto" w:shadow="1"/>
          <w:bottom w:val="single" w:sz="6" w:space="3" w:color="auto" w:shadow="1"/>
          <w:right w:val="single" w:sz="6" w:space="3" w:color="auto" w:shadow="1"/>
        </w:pBdr>
        <w:ind w:left="648"/>
      </w:pPr>
      <w:r>
        <w:drawing>
          <wp:inline distT="0" distB="0" distL="0" distR="0">
            <wp:extent cx="5503545" cy="242125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l="-807" t="-2000" r="-3604" b="-11914"/>
                    <a:stretch>
                      <a:fillRect/>
                    </a:stretch>
                  </pic:blipFill>
                  <pic:spPr bwMode="auto">
                    <a:xfrm>
                      <a:off x="0" y="0"/>
                      <a:ext cx="5503545" cy="2421255"/>
                    </a:xfrm>
                    <a:prstGeom prst="rect">
                      <a:avLst/>
                    </a:prstGeom>
                    <a:noFill/>
                    <a:ln w="9525">
                      <a:noFill/>
                      <a:miter lim="800000"/>
                      <a:headEnd/>
                      <a:tailEnd/>
                    </a:ln>
                  </pic:spPr>
                </pic:pic>
              </a:graphicData>
            </a:graphic>
          </wp:inline>
        </w:drawing>
      </w:r>
    </w:p>
    <w:p w:rsidR="009F4B7E" w:rsidRDefault="009F4B7E" w:rsidP="009F4B7E">
      <w:pPr>
        <w:pStyle w:val="DefaultText"/>
        <w:numPr>
          <w:ilvl w:val="12"/>
          <w:numId w:val="0"/>
        </w:numPr>
        <w:ind w:left="648"/>
      </w:pPr>
    </w:p>
    <w:p w:rsidR="009F4B7E" w:rsidRDefault="009F4B7E" w:rsidP="009F4B7E">
      <w:pPr>
        <w:pStyle w:val="Outline3"/>
        <w:numPr>
          <w:ilvl w:val="12"/>
          <w:numId w:val="0"/>
        </w:numPr>
      </w:pPr>
      <w:r>
        <w:t>1.</w:t>
      </w:r>
      <w:r>
        <w:tab/>
        <w:t>The City as A Rain Forest</w:t>
      </w:r>
      <w:r>
        <w:rPr>
          <w:sz w:val="20"/>
          <w:vertAlign w:val="superscript"/>
        </w:rPr>
        <w:footnoteReference w:id="0"/>
      </w:r>
      <w:r>
        <w:t xml:space="preserve"> (or the Urban Jungle)</w:t>
      </w:r>
    </w:p>
    <w:p w:rsidR="009F4B7E" w:rsidRDefault="009F4B7E" w:rsidP="009F4B7E">
      <w:pPr>
        <w:pStyle w:val="Outline3"/>
        <w:numPr>
          <w:ilvl w:val="12"/>
          <w:numId w:val="0"/>
        </w:numPr>
      </w:pPr>
      <w:r>
        <w:t>2.</w:t>
      </w:r>
      <w:r>
        <w:tab/>
        <w:t>The City as an Organism</w:t>
      </w:r>
    </w:p>
    <w:p w:rsidR="009F4B7E" w:rsidRDefault="009F4B7E" w:rsidP="009F4B7E">
      <w:pPr>
        <w:pStyle w:val="DefaultText"/>
        <w:numPr>
          <w:ilvl w:val="12"/>
          <w:numId w:val="0"/>
        </w:numPr>
        <w:ind w:left="648"/>
      </w:pPr>
      <w:r>
        <w:t xml:space="preserve">Cities are based on structures.  They cannot function apart from the structures of sewerage systems, electrical systems, roading systems.  Yet they have a constantly evolving life.  They are dependent on each other, and find some unity together, but these dependencies and unity are constantly changing.   They are interdependent.  </w:t>
      </w:r>
    </w:p>
    <w:p w:rsidR="009F4B7E" w:rsidRDefault="009F4B7E" w:rsidP="009F4B7E">
      <w:pPr>
        <w:pStyle w:val="Outline3"/>
        <w:numPr>
          <w:ilvl w:val="12"/>
          <w:numId w:val="0"/>
        </w:numPr>
      </w:pPr>
      <w:r>
        <w:t>3.</w:t>
      </w:r>
      <w:r>
        <w:tab/>
        <w:t>Ethnic Peoples</w:t>
      </w:r>
    </w:p>
    <w:p w:rsidR="009F4B7E" w:rsidRDefault="009F4B7E" w:rsidP="009F4B7E">
      <w:pPr>
        <w:pStyle w:val="Outline4"/>
        <w:numPr>
          <w:ilvl w:val="12"/>
          <w:numId w:val="0"/>
        </w:numPr>
      </w:pPr>
      <w:r>
        <w:t xml:space="preserve">i. </w:t>
      </w:r>
      <w:r>
        <w:tab/>
        <w:t xml:space="preserve">Concept of People Group </w:t>
      </w:r>
    </w:p>
    <w:p w:rsidR="009F4B7E" w:rsidRDefault="009F4B7E" w:rsidP="009F4B7E">
      <w:pPr>
        <w:pStyle w:val="Outline4"/>
        <w:numPr>
          <w:ilvl w:val="12"/>
          <w:numId w:val="0"/>
        </w:numPr>
      </w:pPr>
      <w:r>
        <w:t xml:space="preserve">ii. </w:t>
      </w:r>
      <w:r>
        <w:tab/>
        <w:t>Concept of an Unreached People Group</w:t>
      </w:r>
    </w:p>
    <w:p w:rsidR="009F4B7E" w:rsidRDefault="009F4B7E" w:rsidP="009F4B7E">
      <w:pPr>
        <w:pStyle w:val="Outline4"/>
        <w:numPr>
          <w:ilvl w:val="12"/>
          <w:numId w:val="0"/>
        </w:numPr>
      </w:pPr>
      <w:r>
        <w:t xml:space="preserve">iii. </w:t>
      </w:r>
      <w:r>
        <w:tab/>
        <w:t>Case Study: Calcutta, City of Joy</w:t>
      </w:r>
    </w:p>
    <w:p w:rsidR="009F4B7E" w:rsidRDefault="009F4B7E" w:rsidP="009F4B7E">
      <w:pPr>
        <w:pStyle w:val="DefaultText"/>
        <w:numPr>
          <w:ilvl w:val="12"/>
          <w:numId w:val="0"/>
        </w:numPr>
        <w:ind w:left="648"/>
      </w:pPr>
      <w:r>
        <w:t xml:space="preserve">The 11.9 million people include 83 major languages of over 10,000 people.  </w:t>
      </w:r>
    </w:p>
    <w:p w:rsidR="009F4B7E" w:rsidRDefault="009F4B7E" w:rsidP="009F4B7E">
      <w:pPr>
        <w:pStyle w:val="DefaultText"/>
        <w:numPr>
          <w:ilvl w:val="12"/>
          <w:numId w:val="0"/>
        </w:numPr>
        <w:ind w:left="648"/>
      </w:pPr>
    </w:p>
    <w:p w:rsidR="009F4B7E" w:rsidRDefault="009F4B7E" w:rsidP="009F4B7E">
      <w:pPr>
        <w:pStyle w:val="DefaultText"/>
        <w:numPr>
          <w:ilvl w:val="12"/>
          <w:numId w:val="0"/>
        </w:numPr>
        <w:ind w:left="648"/>
      </w:pPr>
    </w:p>
    <w:p w:rsidR="009F4B7E" w:rsidRDefault="009F4B7E" w:rsidP="009F4B7E">
      <w:pPr>
        <w:pStyle w:val="DefaultText"/>
        <w:framePr w:hSpace="67" w:vSpace="67" w:wrap="notBeside" w:vAnchor="text" w:hAnchor="margin" w:x="1809" w:y="67"/>
        <w:numPr>
          <w:ilvl w:val="12"/>
          <w:numId w:val="0"/>
        </w:numPr>
        <w:pBdr>
          <w:top w:val="single" w:sz="6" w:space="3" w:color="auto" w:shadow="1"/>
          <w:left w:val="single" w:sz="6" w:space="3" w:color="auto" w:shadow="1"/>
          <w:bottom w:val="single" w:sz="6" w:space="3" w:color="auto" w:shadow="1"/>
          <w:right w:val="single" w:sz="6" w:space="3" w:color="auto" w:shadow="1"/>
        </w:pBdr>
        <w:ind w:left="648"/>
      </w:pPr>
      <w:r>
        <w:drawing>
          <wp:inline distT="0" distB="0" distL="0" distR="0">
            <wp:extent cx="3496945" cy="4580255"/>
            <wp:effectExtent l="2540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l="-1379" t="-949" r="-12044" b="-1233"/>
                    <a:stretch>
                      <a:fillRect/>
                    </a:stretch>
                  </pic:blipFill>
                  <pic:spPr bwMode="auto">
                    <a:xfrm>
                      <a:off x="0" y="0"/>
                      <a:ext cx="3496945" cy="4580255"/>
                    </a:xfrm>
                    <a:prstGeom prst="rect">
                      <a:avLst/>
                    </a:prstGeom>
                    <a:noFill/>
                    <a:ln w="9525">
                      <a:noFill/>
                      <a:miter lim="800000"/>
                      <a:headEnd/>
                      <a:tailEnd/>
                    </a:ln>
                  </pic:spPr>
                </pic:pic>
              </a:graphicData>
            </a:graphic>
          </wp:inline>
        </w:drawing>
      </w:r>
    </w:p>
    <w:p w:rsidR="009F4B7E" w:rsidRDefault="009F4B7E" w:rsidP="009F4B7E">
      <w:pPr>
        <w:pStyle w:val="DefaultText"/>
        <w:numPr>
          <w:ilvl w:val="12"/>
          <w:numId w:val="0"/>
        </w:numPr>
        <w:ind w:left="648"/>
      </w:pPr>
    </w:p>
    <w:p w:rsidR="009F4B7E" w:rsidRDefault="009F4B7E" w:rsidP="009F4B7E">
      <w:pPr>
        <w:pStyle w:val="DefaultText"/>
        <w:numPr>
          <w:ilvl w:val="12"/>
          <w:numId w:val="0"/>
        </w:numPr>
        <w:ind w:left="648"/>
      </w:pPr>
    </w:p>
    <w:p w:rsidR="009F4B7E" w:rsidRDefault="009F4B7E" w:rsidP="009F4B7E">
      <w:pPr>
        <w:pStyle w:val="Outline3"/>
        <w:numPr>
          <w:ilvl w:val="12"/>
          <w:numId w:val="0"/>
        </w:numPr>
      </w:pPr>
      <w:r>
        <w:t>4.</w:t>
      </w:r>
      <w:r>
        <w:tab/>
        <w:t>Occupational Groups</w:t>
      </w:r>
    </w:p>
    <w:p w:rsidR="009F4B7E" w:rsidRDefault="009F4B7E" w:rsidP="009F4B7E">
      <w:pPr>
        <w:pStyle w:val="Outline3"/>
        <w:numPr>
          <w:ilvl w:val="12"/>
          <w:numId w:val="0"/>
        </w:numPr>
      </w:pPr>
      <w:r>
        <w:t>5.</w:t>
      </w:r>
      <w:r>
        <w:tab/>
        <w:t>Geographic Communities</w:t>
      </w:r>
    </w:p>
    <w:p w:rsidR="009F4B7E" w:rsidRDefault="009F4B7E" w:rsidP="009F4B7E">
      <w:pPr>
        <w:pStyle w:val="Outline3"/>
        <w:numPr>
          <w:ilvl w:val="12"/>
          <w:numId w:val="0"/>
        </w:numPr>
      </w:pPr>
      <w:r>
        <w:t>6.</w:t>
      </w:r>
      <w:r>
        <w:tab/>
        <w:t>Networks and Associations</w:t>
      </w:r>
    </w:p>
    <w:p w:rsidR="009F4B7E" w:rsidRDefault="009F4B7E" w:rsidP="009F4B7E">
      <w:pPr>
        <w:pStyle w:val="Outline2"/>
        <w:numPr>
          <w:ilvl w:val="12"/>
          <w:numId w:val="0"/>
        </w:numPr>
      </w:pPr>
      <w:r>
        <w:t>B.</w:t>
      </w:r>
      <w:r>
        <w:tab/>
        <w:t>The Bridges of God</w:t>
      </w:r>
    </w:p>
    <w:p w:rsidR="009F4B7E" w:rsidRDefault="009F4B7E" w:rsidP="009F4B7E">
      <w:pPr>
        <w:pStyle w:val="Outline2"/>
        <w:numPr>
          <w:ilvl w:val="12"/>
          <w:numId w:val="0"/>
        </w:numPr>
      </w:pPr>
      <w:r>
        <w:t>C.</w:t>
      </w:r>
      <w:r>
        <w:tab/>
        <w:t>Rural-Urban Strategies</w:t>
      </w:r>
      <w:r>
        <w:rPr>
          <w:sz w:val="20"/>
          <w:vertAlign w:val="superscript"/>
        </w:rPr>
        <w:footnoteReference w:id="1"/>
      </w:r>
    </w:p>
    <w:p w:rsidR="009F4B7E" w:rsidRDefault="009F4B7E" w:rsidP="009F4B7E">
      <w:pPr>
        <w:pStyle w:val="Outline4"/>
        <w:numPr>
          <w:ilvl w:val="12"/>
          <w:numId w:val="0"/>
        </w:numPr>
      </w:pPr>
      <w:r>
        <w:t xml:space="preserve">i. </w:t>
      </w:r>
      <w:r>
        <w:tab/>
        <w:t>The Ibanag and Maoris</w:t>
      </w:r>
      <w:r>
        <w:rPr>
          <w:vertAlign w:val="superscript"/>
        </w:rPr>
        <w:footnoteReference w:id="2"/>
      </w:r>
      <w:r>
        <w:t xml:space="preserve"> as Case Studies of Rural-Urban Movements</w:t>
      </w:r>
    </w:p>
    <w:p w:rsidR="009F4B7E" w:rsidRDefault="009F4B7E" w:rsidP="009F4B7E">
      <w:pPr>
        <w:pStyle w:val="Outline5"/>
        <w:numPr>
          <w:ilvl w:val="12"/>
          <w:numId w:val="0"/>
        </w:numPr>
      </w:pPr>
      <w:r>
        <w:t>a.</w:t>
      </w:r>
      <w:r>
        <w:tab/>
        <w:t>Base Structure</w:t>
      </w:r>
    </w:p>
    <w:p w:rsidR="009F4B7E" w:rsidRDefault="009F4B7E" w:rsidP="009F4B7E">
      <w:pPr>
        <w:pStyle w:val="DefaultText"/>
        <w:numPr>
          <w:ilvl w:val="12"/>
          <w:numId w:val="0"/>
        </w:numPr>
        <w:ind w:left="648"/>
      </w:pPr>
      <w:r>
        <w:t xml:space="preserve">The Maori in New Zealand came to Christ through two movements: Anglican and Methodist.  Bothe had the resources to sustain teams of about 30 missionaries over 30 years.  </w:t>
      </w:r>
    </w:p>
    <w:p w:rsidR="009F4B7E" w:rsidRDefault="009F4B7E" w:rsidP="009F4B7E">
      <w:pPr>
        <w:pStyle w:val="Outline5"/>
        <w:numPr>
          <w:ilvl w:val="12"/>
          <w:numId w:val="0"/>
        </w:numPr>
      </w:pPr>
      <w:r>
        <w:t>b.</w:t>
      </w:r>
      <w:r>
        <w:tab/>
        <w:t>Invitation</w:t>
      </w:r>
    </w:p>
    <w:p w:rsidR="009F4B7E" w:rsidRDefault="009F4B7E" w:rsidP="009F4B7E">
      <w:pPr>
        <w:pStyle w:val="DefaultText"/>
        <w:numPr>
          <w:ilvl w:val="12"/>
          <w:numId w:val="0"/>
        </w:numPr>
        <w:ind w:left="648"/>
      </w:pPr>
      <w:r>
        <w:t xml:space="preserve">In 1809 a massacre .  The shame of this resulted in 1814 invitation to Marsden.  He preached his first message and won their hearts   After time the chiefs gave permission to go inland.   He submitted to a tribal welcome, understood their worldview, and answered their questions.  He trusted the chiefs with the work.  </w:t>
      </w:r>
    </w:p>
    <w:p w:rsidR="009F4B7E" w:rsidRDefault="009F4B7E" w:rsidP="009F4B7E">
      <w:pPr>
        <w:pStyle w:val="Outline5"/>
        <w:numPr>
          <w:ilvl w:val="12"/>
          <w:numId w:val="0"/>
        </w:numPr>
      </w:pPr>
      <w:r>
        <w:t>c.</w:t>
      </w:r>
      <w:r>
        <w:tab/>
        <w:t>Research</w:t>
      </w:r>
    </w:p>
    <w:p w:rsidR="009F4B7E" w:rsidRDefault="009F4B7E" w:rsidP="009F4B7E">
      <w:pPr>
        <w:pStyle w:val="Outline5"/>
        <w:numPr>
          <w:ilvl w:val="12"/>
          <w:numId w:val="0"/>
        </w:numPr>
      </w:pPr>
      <w:r>
        <w:t>d.</w:t>
      </w:r>
      <w:r>
        <w:tab/>
        <w:t>Scripture Translation</w:t>
      </w:r>
    </w:p>
    <w:p w:rsidR="009F4B7E" w:rsidRDefault="009F4B7E" w:rsidP="009F4B7E">
      <w:pPr>
        <w:pStyle w:val="Outline5"/>
        <w:numPr>
          <w:ilvl w:val="12"/>
          <w:numId w:val="0"/>
        </w:numPr>
      </w:pPr>
      <w:r>
        <w:t>e.</w:t>
      </w:r>
      <w:r>
        <w:tab/>
        <w:t>Teaching Literacy</w:t>
      </w:r>
    </w:p>
    <w:p w:rsidR="009F4B7E" w:rsidRDefault="009F4B7E" w:rsidP="009F4B7E">
      <w:pPr>
        <w:pStyle w:val="Outline5"/>
        <w:numPr>
          <w:ilvl w:val="12"/>
          <w:numId w:val="0"/>
        </w:numPr>
      </w:pPr>
      <w:r>
        <w:t>f.</w:t>
      </w:r>
      <w:r>
        <w:tab/>
        <w:t>Multi-Cellular Peoples Movement</w:t>
      </w:r>
    </w:p>
    <w:p w:rsidR="009F4B7E" w:rsidRDefault="009F4B7E" w:rsidP="009F4B7E">
      <w:pPr>
        <w:pStyle w:val="DefaultText"/>
        <w:numPr>
          <w:ilvl w:val="12"/>
          <w:numId w:val="0"/>
        </w:numPr>
        <w:ind w:left="648"/>
      </w:pPr>
      <w:r>
        <w:t xml:space="preserve">The first spiritual movement along the Hokianga, beginning with a group of  5.  In 1835, some 200 could answer the catechism.  By 1836, the missionaries printing press was at work and had reached the gospel of John.   That year a chief plus 120 people.  Later that year 130.  by the end of the year the 15000.  The New Testament had been printed.  In 10 years 2000 had converted.  There were 21 mission stations with 31 missionaries, 440 indigenous teachers, 113 indigenous schools, and 7027 communicants.  Both movements began in chiefly circles.  As slaves were freed, they travelled back preaching. </w:t>
      </w:r>
    </w:p>
    <w:p w:rsidR="009F4B7E" w:rsidRDefault="009F4B7E" w:rsidP="009F4B7E">
      <w:pPr>
        <w:pStyle w:val="DefaultText"/>
        <w:numPr>
          <w:ilvl w:val="12"/>
          <w:numId w:val="0"/>
        </w:numPr>
        <w:ind w:left="648"/>
      </w:pPr>
    </w:p>
    <w:p w:rsidR="009F4B7E" w:rsidRDefault="009F4B7E" w:rsidP="009F4B7E">
      <w:pPr>
        <w:pStyle w:val="Outline2"/>
        <w:numPr>
          <w:ilvl w:val="12"/>
          <w:numId w:val="0"/>
        </w:numPr>
      </w:pPr>
      <w:r>
        <w:t>D.</w:t>
      </w:r>
      <w:r>
        <w:tab/>
        <w:t>URBAN RESEARCH ISSUES</w:t>
      </w:r>
      <w:r>
        <w:rPr>
          <w:sz w:val="20"/>
          <w:vertAlign w:val="superscript"/>
        </w:rPr>
        <w:footnoteReference w:id="3"/>
      </w:r>
    </w:p>
    <w:p w:rsidR="009F4B7E" w:rsidRDefault="009F4B7E" w:rsidP="009F4B7E">
      <w:pPr>
        <w:pStyle w:val="Outline3"/>
        <w:numPr>
          <w:ilvl w:val="12"/>
          <w:numId w:val="0"/>
        </w:numPr>
      </w:pPr>
      <w:r>
        <w:t>1.</w:t>
      </w:r>
      <w:r>
        <w:tab/>
        <w:t>Case Study: Adopt-a-City Profiles</w:t>
      </w:r>
    </w:p>
    <w:p w:rsidR="009F4B7E" w:rsidRDefault="009F4B7E" w:rsidP="009F4B7E">
      <w:pPr>
        <w:pStyle w:val="Outline3"/>
        <w:numPr>
          <w:ilvl w:val="12"/>
          <w:numId w:val="0"/>
        </w:numPr>
      </w:pPr>
      <w:r>
        <w:t>2.</w:t>
      </w:r>
      <w:r>
        <w:tab/>
        <w:t>Case Study: The Garment Industry of Los Angeles</w:t>
      </w:r>
    </w:p>
    <w:p w:rsidR="009F4B7E" w:rsidRDefault="009F4B7E" w:rsidP="009F4B7E">
      <w:pPr>
        <w:pStyle w:val="Outline3"/>
        <w:numPr>
          <w:ilvl w:val="12"/>
          <w:numId w:val="0"/>
        </w:numPr>
      </w:pPr>
      <w:r>
        <w:t>3.</w:t>
      </w:r>
      <w:r>
        <w:tab/>
        <w:t>Case Study: 1024 Bangkok Slums: Selecting a Slum</w:t>
      </w:r>
    </w:p>
    <w:p w:rsidR="00944CF0" w:rsidRDefault="009F4B7E"/>
    <w:sectPr w:rsidR="00944CF0">
      <w:headerReference w:type="default" r:id="rId8"/>
      <w:footerReference w:type="even" r:id="rId9"/>
      <w:footerReference w:type="default" r:id="rId10"/>
      <w:pgSz w:w="11905" w:h="16838"/>
      <w:pgMar w:top="1430" w:right="1430" w:bottom="1430" w:left="1430" w:header="360" w:footer="360" w:gutter="0"/>
      <w:cols w:sep="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14" w:rsidRDefault="009F4B7E">
    <w:pPr>
      <w:pStyle w:val="DefaultText"/>
      <w:jc w:val="center"/>
      <w:rPr>
        <w:sz w:val="16"/>
      </w:rPr>
    </w:pPr>
    <w:r>
      <w:rPr>
        <w:sz w:val="16"/>
      </w:rPr>
      <w:fldChar w:fldCharType="begin"/>
    </w:r>
    <w:r>
      <w:rPr>
        <w:sz w:val="16"/>
      </w:rPr>
      <w:instrText>date \@ "d/MM/yyyy" \* MERGEFORMAT</w:instrText>
    </w:r>
    <w:r>
      <w:rPr>
        <w:sz w:val="16"/>
      </w:rPr>
      <w:fldChar w:fldCharType="separate"/>
    </w:r>
    <w:r>
      <w:rPr>
        <w:sz w:val="16"/>
      </w:rPr>
      <w:t>19</w:t>
    </w:r>
    <w:r>
      <w:rPr>
        <w:sz w:val="16"/>
      </w:rPr>
      <w:t>/</w:t>
    </w:r>
    <w:r>
      <w:rPr>
        <w:sz w:val="16"/>
      </w:rPr>
      <w:t>10</w:t>
    </w:r>
    <w:r>
      <w:rPr>
        <w:sz w:val="16"/>
      </w:rPr>
      <w:t>/</w:t>
    </w:r>
    <w:r>
      <w:rPr>
        <w:sz w:val="16"/>
      </w:rPr>
      <w:t>2011</w:t>
    </w:r>
    <w:r>
      <w:rPr>
        <w:sz w:val="16"/>
      </w:rPr>
      <w:fldChar w:fldCharType="end"/>
    </w:r>
    <w:r>
      <w:rPr>
        <w:sz w:val="16"/>
      </w:rPr>
      <w:t xml:space="preserve">                                                               Context - </w:t>
    </w:r>
    <w:fldSimple w:instr="page  \* MERGEFORMAT">
      <w:r>
        <w:rPr>
          <w:sz w:val="16"/>
        </w:rPr>
        <w:t>52</w:t>
      </w:r>
    </w:fldSimple>
    <w:r>
      <w:rPr>
        <w:sz w:val="16"/>
      </w:rPr>
      <w:t xml:space="preserve">                                                                </w:t>
    </w:r>
    <w:r>
      <w:rPr>
        <w:sz w:val="16"/>
      </w:rPr>
      <w:t xml:space="preserve">              </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14" w:rsidRDefault="009F4B7E">
    <w:pPr>
      <w:pStyle w:val="DefaultText"/>
      <w:jc w:val="center"/>
      <w:rPr>
        <w:sz w:val="16"/>
      </w:rPr>
    </w:pPr>
    <w:r>
      <w:rPr>
        <w:sz w:val="16"/>
      </w:rPr>
      <w:fldChar w:fldCharType="begin"/>
    </w:r>
    <w:r>
      <w:rPr>
        <w:sz w:val="16"/>
      </w:rPr>
      <w:instrText>date \@ "d/MM/yyyy" \* MERGEFORMAT</w:instrText>
    </w:r>
    <w:r>
      <w:rPr>
        <w:sz w:val="16"/>
      </w:rPr>
      <w:fldChar w:fldCharType="separate"/>
    </w:r>
    <w:r>
      <w:rPr>
        <w:sz w:val="16"/>
      </w:rPr>
      <w:t>19</w:t>
    </w:r>
    <w:r>
      <w:rPr>
        <w:sz w:val="16"/>
      </w:rPr>
      <w:t>/</w:t>
    </w:r>
    <w:r>
      <w:rPr>
        <w:sz w:val="16"/>
      </w:rPr>
      <w:t>10</w:t>
    </w:r>
    <w:r>
      <w:rPr>
        <w:sz w:val="16"/>
      </w:rPr>
      <w:t>/</w:t>
    </w:r>
    <w:r>
      <w:rPr>
        <w:sz w:val="16"/>
      </w:rPr>
      <w:t>2011</w:t>
    </w:r>
    <w:r>
      <w:rPr>
        <w:sz w:val="16"/>
      </w:rPr>
      <w:fldChar w:fldCharType="end"/>
    </w:r>
    <w:r>
      <w:rPr>
        <w:sz w:val="16"/>
      </w:rPr>
      <w:t xml:space="preserve">                                                               Context - </w:t>
    </w:r>
    <w:fldSimple w:instr="page  \* MERGEFORMAT">
      <w:r>
        <w:rPr>
          <w:sz w:val="16"/>
        </w:rPr>
        <w:t>2</w:t>
      </w:r>
    </w:fldSimple>
    <w:r>
      <w:rPr>
        <w:sz w:val="16"/>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F4B7E" w:rsidRDefault="009F4B7E" w:rsidP="009F4B7E">
      <w:pPr>
        <w:pStyle w:val="Footnote"/>
        <w:numPr>
          <w:ilvl w:val="0"/>
          <w:numId w:val="2"/>
        </w:numPr>
      </w:pPr>
      <w:r>
        <w:rPr>
          <w:vertAlign w:val="superscript"/>
        </w:rPr>
        <w:footnoteRef/>
      </w:r>
      <w:r>
        <w:t>Supplementary Readings: People Groups in Cities</w:t>
      </w:r>
    </w:p>
    <w:p w:rsidR="009F4B7E" w:rsidRDefault="009F4B7E" w:rsidP="009F4B7E">
      <w:pPr>
        <w:pStyle w:val="Reference"/>
      </w:pPr>
      <w:r>
        <w:t>Greenway, Roger and Timothy Monsma</w:t>
      </w:r>
      <w:r>
        <w:br/>
        <w:t xml:space="preserve"> 1989 "The Intersecting Veins of the City".  In </w:t>
      </w:r>
      <w:r>
        <w:rPr>
          <w:b/>
          <w:i/>
        </w:rPr>
        <w:t>Cities: Missions New Frontiers</w:t>
      </w:r>
      <w:r>
        <w:t>, Baker.</w:t>
      </w:r>
    </w:p>
    <w:p w:rsidR="009F4B7E" w:rsidRDefault="009F4B7E" w:rsidP="009F4B7E">
      <w:pPr>
        <w:pStyle w:val="Reference"/>
      </w:pPr>
      <w:r>
        <w:t>Conn, Harvey</w:t>
      </w:r>
    </w:p>
    <w:p w:rsidR="009F4B7E" w:rsidRDefault="009F4B7E" w:rsidP="009F4B7E">
      <w:pPr>
        <w:pStyle w:val="Reference2"/>
      </w:pPr>
      <w:r>
        <w:t xml:space="preserve">1991 " Unreached Peoples and the City".  </w:t>
      </w:r>
      <w:r>
        <w:rPr>
          <w:b/>
          <w:i/>
        </w:rPr>
        <w:t>Urban Mission</w:t>
      </w:r>
      <w:r>
        <w:t>, Vol.  8, No. 5, May 1991.</w:t>
      </w:r>
    </w:p>
  </w:footnote>
  <w:footnote w:id="0">
    <w:p w:rsidR="009F4B7E" w:rsidRDefault="009F4B7E" w:rsidP="009F4B7E">
      <w:pPr>
        <w:pStyle w:val="Footnote"/>
        <w:numPr>
          <w:ilvl w:val="0"/>
          <w:numId w:val="3"/>
        </w:numPr>
      </w:pPr>
      <w:r>
        <w:rPr>
          <w:vertAlign w:val="superscript"/>
        </w:rPr>
        <w:footnoteRef/>
      </w:r>
      <w:r>
        <w:t>Based on an idea by Fletcher Tink.</w:t>
      </w:r>
    </w:p>
  </w:footnote>
  <w:footnote w:id="1">
    <w:p w:rsidR="009F4B7E" w:rsidRDefault="009F4B7E" w:rsidP="009F4B7E">
      <w:pPr>
        <w:pStyle w:val="Footnote"/>
        <w:numPr>
          <w:ilvl w:val="0"/>
          <w:numId w:val="3"/>
        </w:numPr>
      </w:pPr>
      <w:r>
        <w:rPr>
          <w:vertAlign w:val="superscript"/>
        </w:rPr>
        <w:footnoteRef/>
      </w:r>
      <w:r>
        <w:t>Supplementary readings: Rural-Urban Bridges:</w:t>
      </w:r>
    </w:p>
    <w:p w:rsidR="009F4B7E" w:rsidRDefault="009F4B7E" w:rsidP="009F4B7E">
      <w:pPr>
        <w:pStyle w:val="Reference"/>
      </w:pPr>
      <w:r>
        <w:t>Greenway, Roger</w:t>
      </w:r>
    </w:p>
    <w:p w:rsidR="009F4B7E" w:rsidRDefault="009F4B7E" w:rsidP="009F4B7E">
      <w:pPr>
        <w:pStyle w:val="Reference2"/>
      </w:pPr>
      <w:r>
        <w:t xml:space="preserve">1988 "The Peril of Neglecting Rural-Urban Bridges".  </w:t>
      </w:r>
      <w:r>
        <w:rPr>
          <w:b/>
          <w:i/>
        </w:rPr>
        <w:t>Urban Mission</w:t>
      </w:r>
      <w:r>
        <w:t>, Vol.  6, No. 1, September 1988.</w:t>
      </w:r>
    </w:p>
    <w:p w:rsidR="009F4B7E" w:rsidRDefault="009F4B7E" w:rsidP="009F4B7E">
      <w:pPr>
        <w:pStyle w:val="Reference"/>
      </w:pPr>
      <w:r>
        <w:t>Long, Rebecca</w:t>
      </w:r>
    </w:p>
    <w:p w:rsidR="009F4B7E" w:rsidRDefault="009F4B7E" w:rsidP="009F4B7E">
      <w:pPr>
        <w:pStyle w:val="Reference2"/>
      </w:pPr>
      <w:r>
        <w:t xml:space="preserve">1991 "Rural Roots and Urban Evangelism: A Zapotec Case Study".  </w:t>
      </w:r>
      <w:r>
        <w:rPr>
          <w:b/>
          <w:i/>
        </w:rPr>
        <w:t>Urban Mission</w:t>
      </w:r>
      <w:r>
        <w:t>, Vol.  8, No. 5, May 1991.</w:t>
      </w:r>
    </w:p>
    <w:p w:rsidR="009F4B7E" w:rsidRDefault="009F4B7E" w:rsidP="009F4B7E">
      <w:pPr>
        <w:pStyle w:val="Reference"/>
      </w:pPr>
      <w:r>
        <w:t>Steffan, Tom</w:t>
      </w:r>
      <w:r>
        <w:br/>
        <w:t xml:space="preserve">1993 "Urban-Rural Networks and Strategies".  </w:t>
      </w:r>
      <w:r>
        <w:rPr>
          <w:b/>
          <w:i/>
        </w:rPr>
        <w:t>Urban Mission,</w:t>
      </w:r>
      <w:r>
        <w:t xml:space="preserve"> Vol.  10, No. 3, March 1993. </w:t>
      </w:r>
    </w:p>
  </w:footnote>
  <w:footnote w:id="2">
    <w:p w:rsidR="009F4B7E" w:rsidRDefault="009F4B7E" w:rsidP="009F4B7E">
      <w:pPr>
        <w:pStyle w:val="Footnote"/>
        <w:numPr>
          <w:ilvl w:val="0"/>
          <w:numId w:val="4"/>
        </w:numPr>
      </w:pPr>
      <w:r>
        <w:rPr>
          <w:vertAlign w:val="superscript"/>
        </w:rPr>
        <w:footnoteRef/>
      </w:r>
      <w:r>
        <w:t>Tippett, Alan</w:t>
      </w:r>
      <w:r>
        <w:br/>
      </w:r>
      <w:r>
        <w:rPr>
          <w:b/>
          <w:i/>
        </w:rPr>
        <w:t>People Movements in Southern Polynesia</w:t>
      </w:r>
      <w:r>
        <w:t xml:space="preserve">, </w:t>
      </w:r>
    </w:p>
  </w:footnote>
  <w:footnote w:id="3">
    <w:p w:rsidR="009F4B7E" w:rsidRDefault="009F4B7E" w:rsidP="009F4B7E">
      <w:pPr>
        <w:pStyle w:val="Footnote"/>
        <w:numPr>
          <w:ilvl w:val="0"/>
          <w:numId w:val="4"/>
        </w:numPr>
      </w:pPr>
      <w:r>
        <w:rPr>
          <w:vertAlign w:val="superscript"/>
        </w:rPr>
        <w:footnoteRef/>
      </w:r>
      <w:r>
        <w:t>Supplementary Readings: Research</w:t>
      </w:r>
      <w:r>
        <w:br/>
        <w:t>Greenway, Roger and Timothy Monsma</w:t>
      </w:r>
      <w:r>
        <w:br/>
        <w:t xml:space="preserve">1989 "Research as a Tool for Evangelism".  In </w:t>
      </w:r>
      <w:r>
        <w:rPr>
          <w:b/>
          <w:i/>
        </w:rPr>
        <w:t>Cities: Mission New Frontiers</w:t>
      </w:r>
      <w:r>
        <w:t>, Baker.</w:t>
      </w:r>
      <w:r>
        <w:br/>
        <w:t>Lingenfelter, Judith</w:t>
      </w:r>
      <w:r>
        <w:br/>
        <w:t xml:space="preserve">1992 "Getting to Know Your New City".  In </w:t>
      </w:r>
      <w:r>
        <w:rPr>
          <w:b/>
          <w:i/>
        </w:rPr>
        <w:t xml:space="preserve">Discipling the City, </w:t>
      </w:r>
      <w:r>
        <w:t>Roger Greenway, ed., Baker.</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B14" w:rsidRDefault="009F4B7E">
    <w:pPr>
      <w:pStyle w:val="DefaultText"/>
      <w:framePr w:wrap="around" w:vAnchor="page" w:hAnchor="page" w:x="9909" w:y="14856"/>
    </w:pPr>
    <w:r w:rsidRPr="00B909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60.65pt;height:65.35pt;visibility:visible">
          <v:imagedata r:id="rId1" o:title="" cropright="-83488f"/>
          <v:textbox style="mso-rotate-with-shape:t"/>
        </v:shape>
      </w:pict>
    </w:r>
  </w:p>
  <w:p w:rsidR="00857B14" w:rsidRDefault="009F4B7E">
    <w:pPr>
      <w:pStyle w:val="Header"/>
    </w:pPr>
    <w:r>
      <w:t xml:space="preserve">Mission in an Urban Context                                                               </w:t>
    </w:r>
    <w:r>
      <w:t xml:space="preserve">                                     Viv Grigg</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34DC"/>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1">
    <w:nsid w:val="35DF6E4F"/>
    <w:multiLevelType w:val="multilevel"/>
    <w:tmpl w:val="63227364"/>
    <w:lvl w:ilvl="0">
      <w:start w:val="1"/>
      <w:numFmt w:val="upperRoman"/>
      <w:lvlText w:val="%1."/>
      <w:legacy w:legacy="1" w:legacySpace="60" w:legacyIndent="288"/>
      <w:lvlJc w:val="right"/>
      <w:pPr>
        <w:ind w:left="288" w:hanging="288"/>
      </w:pPr>
      <w:rPr>
        <w:rFonts w:ascii="Times New Roman" w:hAnsi="Times New Roman" w:hint="default"/>
      </w:rPr>
    </w:lvl>
    <w:lvl w:ilvl="1">
      <w:start w:val="1"/>
      <w:numFmt w:val="upperLetter"/>
      <w:lvlText w:val="%2."/>
      <w:legacy w:legacy="1" w:legacySpace="60" w:legacyIndent="288"/>
      <w:lvlJc w:val="right"/>
      <w:pPr>
        <w:ind w:left="576" w:hanging="288"/>
      </w:pPr>
      <w:rPr>
        <w:rFonts w:ascii="Times New Roman" w:hAnsi="Times New Roman" w:hint="default"/>
      </w:rPr>
    </w:lvl>
    <w:lvl w:ilvl="2">
      <w:start w:val="1"/>
      <w:numFmt w:val="decimal"/>
      <w:lvlText w:val="%3."/>
      <w:legacy w:legacy="1" w:legacySpace="60" w:legacyIndent="288"/>
      <w:lvlJc w:val="right"/>
      <w:pPr>
        <w:ind w:left="864" w:hanging="288"/>
      </w:pPr>
      <w:rPr>
        <w:rFonts w:ascii="Times New Roman" w:hAnsi="Times New Roman" w:hint="default"/>
      </w:rPr>
    </w:lvl>
    <w:lvl w:ilvl="3">
      <w:start w:val="1"/>
      <w:numFmt w:val="lowerRoman"/>
      <w:lvlText w:val="%4."/>
      <w:legacy w:legacy="1" w:legacySpace="60" w:legacyIndent="288"/>
      <w:lvlJc w:val="right"/>
      <w:pPr>
        <w:ind w:left="1152" w:hanging="288"/>
      </w:pPr>
      <w:rPr>
        <w:rFonts w:ascii="Times New Roman" w:hAnsi="Times New Roman" w:hint="default"/>
      </w:rPr>
    </w:lvl>
    <w:lvl w:ilvl="4">
      <w:start w:val="1"/>
      <w:numFmt w:val="lowerLetter"/>
      <w:lvlText w:val="%5."/>
      <w:legacy w:legacy="1" w:legacySpace="60" w:legacyIndent="288"/>
      <w:lvlJc w:val="right"/>
      <w:pPr>
        <w:ind w:left="1440" w:hanging="288"/>
      </w:pPr>
      <w:rPr>
        <w:rFonts w:ascii="Times New Roman" w:hAnsi="Times New Roman" w:hint="default"/>
      </w:rPr>
    </w:lvl>
    <w:lvl w:ilvl="5">
      <w:start w:val="1"/>
      <w:numFmt w:val="decimal"/>
      <w:lvlText w:val="%6)"/>
      <w:legacy w:legacy="1" w:legacySpace="60" w:legacyIndent="288"/>
      <w:lvlJc w:val="right"/>
      <w:pPr>
        <w:ind w:left="1728" w:hanging="288"/>
      </w:pPr>
      <w:rPr>
        <w:rFonts w:ascii="Times New Roman" w:hAnsi="Times New Roman" w:hint="default"/>
      </w:rPr>
    </w:lvl>
    <w:lvl w:ilvl="6">
      <w:start w:val="1"/>
      <w:numFmt w:val="lowerRoman"/>
      <w:lvlText w:val="%7)"/>
      <w:legacy w:legacy="1" w:legacySpace="60" w:legacyIndent="288"/>
      <w:lvlJc w:val="right"/>
      <w:pPr>
        <w:ind w:left="2016" w:hanging="288"/>
      </w:pPr>
      <w:rPr>
        <w:rFonts w:ascii="Times New Roman" w:hAnsi="Times New Roman" w:hint="default"/>
      </w:rPr>
    </w:lvl>
    <w:lvl w:ilvl="7">
      <w:start w:val="1"/>
      <w:numFmt w:val="lowerLetter"/>
      <w:lvlText w:val="%8)"/>
      <w:legacy w:legacy="1" w:legacySpace="60" w:legacyIndent="288"/>
      <w:lvlJc w:val="right"/>
      <w:pPr>
        <w:ind w:left="2304" w:hanging="288"/>
      </w:pPr>
      <w:rPr>
        <w:rFonts w:ascii="Times New Roman" w:hAnsi="Times New Roman" w:hint="default"/>
      </w:rPr>
    </w:lvl>
    <w:lvl w:ilvl="8">
      <w:start w:val="1"/>
      <w:numFmt w:val="decimal"/>
      <w:lvlText w:val="(%9)"/>
      <w:legacy w:legacy="1" w:legacySpace="60" w:legacyIndent="288"/>
      <w:lvlJc w:val="right"/>
      <w:pPr>
        <w:ind w:left="2592" w:hanging="288"/>
      </w:pPr>
      <w:rPr>
        <w:rFonts w:ascii="Times New Roman" w:hAnsi="Times New Roman" w:hint="default"/>
      </w:rPr>
    </w:lvl>
  </w:abstractNum>
  <w:abstractNum w:abstractNumId="2">
    <w:nsid w:val="43677F9D"/>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3">
    <w:nsid w:val="4BC46D9B"/>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9F4B7E"/>
    <w:rsid w:val="009F4B7E"/>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Times New Roman" w:eastAsia="Times New Roman" w:hAnsi="Times New Roman" w:cs="Times New Roman"/>
      <w:noProo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9F4B7E"/>
    <w:pPr>
      <w:ind w:left="216" w:right="216"/>
      <w:jc w:val="center"/>
    </w:pPr>
    <w:rPr>
      <w:sz w:val="16"/>
    </w:rPr>
  </w:style>
  <w:style w:type="character" w:customStyle="1" w:styleId="HeaderChar">
    <w:name w:val="Header Char"/>
    <w:basedOn w:val="DefaultParagraphFont"/>
    <w:link w:val="Header"/>
    <w:rsid w:val="009F4B7E"/>
    <w:rPr>
      <w:rFonts w:ascii="Times New Roman" w:eastAsia="Times New Roman" w:hAnsi="Times New Roman" w:cs="Times New Roman"/>
      <w:noProof/>
      <w:sz w:val="16"/>
      <w:szCs w:val="20"/>
    </w:rPr>
  </w:style>
  <w:style w:type="paragraph" w:customStyle="1" w:styleId="Footnote">
    <w:name w:val="Footnote"/>
    <w:basedOn w:val="Normal"/>
    <w:rsid w:val="009F4B7E"/>
    <w:pPr>
      <w:ind w:right="216"/>
    </w:pPr>
  </w:style>
  <w:style w:type="paragraph" w:customStyle="1" w:styleId="Reference2">
    <w:name w:val="Reference2"/>
    <w:basedOn w:val="Normal"/>
    <w:rsid w:val="009F4B7E"/>
    <w:pPr>
      <w:keepLines/>
      <w:ind w:left="720"/>
    </w:pPr>
  </w:style>
  <w:style w:type="paragraph" w:customStyle="1" w:styleId="Reference">
    <w:name w:val="Reference"/>
    <w:basedOn w:val="Normal"/>
    <w:rsid w:val="009F4B7E"/>
    <w:pPr>
      <w:keepNext/>
      <w:keepLines/>
      <w:spacing w:before="72"/>
      <w:ind w:left="1080" w:right="216" w:hanging="432"/>
    </w:pPr>
  </w:style>
  <w:style w:type="paragraph" w:customStyle="1" w:styleId="Outline5">
    <w:name w:val="Outline 5"/>
    <w:basedOn w:val="Normal"/>
    <w:rsid w:val="009F4B7E"/>
    <w:pPr>
      <w:ind w:right="216"/>
    </w:pPr>
  </w:style>
  <w:style w:type="paragraph" w:customStyle="1" w:styleId="Outline4">
    <w:name w:val="Outline 4"/>
    <w:basedOn w:val="Normal"/>
    <w:rsid w:val="009F4B7E"/>
    <w:pPr>
      <w:ind w:right="216"/>
    </w:pPr>
    <w:rPr>
      <w:b/>
    </w:rPr>
  </w:style>
  <w:style w:type="paragraph" w:customStyle="1" w:styleId="Outline3">
    <w:name w:val="Outline 3"/>
    <w:basedOn w:val="Normal"/>
    <w:rsid w:val="009F4B7E"/>
    <w:pPr>
      <w:spacing w:before="72" w:after="72"/>
      <w:ind w:right="216"/>
    </w:pPr>
    <w:rPr>
      <w:b/>
      <w:i/>
      <w:sz w:val="24"/>
    </w:rPr>
  </w:style>
  <w:style w:type="paragraph" w:customStyle="1" w:styleId="Outline2">
    <w:name w:val="Outline 2"/>
    <w:basedOn w:val="Normal"/>
    <w:rsid w:val="009F4B7E"/>
    <w:pPr>
      <w:spacing w:before="72" w:after="72"/>
      <w:ind w:right="216"/>
    </w:pPr>
    <w:rPr>
      <w:b/>
      <w:sz w:val="24"/>
    </w:rPr>
  </w:style>
  <w:style w:type="paragraph" w:customStyle="1" w:styleId="Outline1">
    <w:name w:val="Outline 1"/>
    <w:basedOn w:val="Normal"/>
    <w:rsid w:val="009F4B7E"/>
    <w:pPr>
      <w:keepNext/>
      <w:keepLines/>
      <w:pageBreakBefore/>
      <w:pBdr>
        <w:top w:val="single" w:sz="12" w:space="7" w:color="auto"/>
        <w:bottom w:val="single" w:sz="12" w:space="7" w:color="auto"/>
      </w:pBdr>
      <w:spacing w:before="72" w:after="72"/>
      <w:ind w:right="216"/>
      <w:jc w:val="center"/>
    </w:pPr>
    <w:rPr>
      <w:b/>
      <w:smallCaps/>
      <w:sz w:val="28"/>
    </w:rPr>
  </w:style>
  <w:style w:type="paragraph" w:customStyle="1" w:styleId="DefaultText">
    <w:name w:val="Default Text"/>
    <w:basedOn w:val="Normal"/>
    <w:rsid w:val="009F4B7E"/>
    <w:pPr>
      <w:ind w:left="648" w:right="72"/>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webSettings" Target="webSettings.xml"/><Relationship Id="rId10" Type="http://schemas.openxmlformats.org/officeDocument/2006/relationships/footer" Target="footer2.xml"/><Relationship Id="rId5" Type="http://schemas.openxmlformats.org/officeDocument/2006/relationships/footnotes" Target="footnotes.xml"/><Relationship Id="rId7" Type="http://schemas.openxmlformats.org/officeDocument/2006/relationships/image" Target="media/image2.wmf"/><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openxmlformats.org/officeDocument/2006/relationships/settings" Target="settings.xml"/><Relationship Id="rId6"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2054</Characters>
  <Application>Microsoft Macintosh Word</Application>
  <DocSecurity>0</DocSecurity>
  <Lines>17</Lines>
  <Paragraphs>4</Paragraphs>
  <ScaleCrop>false</ScaleCrop>
  <Company>Azusa Pacific University</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1</cp:revision>
  <dcterms:created xsi:type="dcterms:W3CDTF">2011-10-20T01:32:00Z</dcterms:created>
  <dcterms:modified xsi:type="dcterms:W3CDTF">2011-10-20T01:32:00Z</dcterms:modified>
</cp:coreProperties>
</file>